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</w:t>
      </w:r>
      <w:bookmarkStart w:id="0" w:name="_GoBack"/>
      <w:r/>
      <w:bookmarkEnd w:id="0"/>
      <w:r>
        <w:rPr>
          <w:rFonts w:ascii="Times New Roman" w:hAnsi="Times New Roman" w:eastAsia="Calibri"/>
          <w:b/>
          <w:caps/>
          <w:szCs w:val="24"/>
        </w:rPr>
        <w:t xml:space="preserve">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bCs/>
          <w:caps/>
          <w:highlight w:val="none"/>
        </w:rPr>
      </w:r>
      <w:r>
        <w:rPr>
          <w:rFonts w:ascii="Times New Roman" w:hAnsi="Times New Roman" w:eastAsia="Calibri"/>
          <w:b/>
          <w:bCs/>
          <w:caps/>
          <w:highlight w:val="none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</w:rPr>
      </w:pPr>
      <w:r>
        <w:rPr>
          <w:rFonts w:ascii="Times New Roman" w:hAnsi="Times New Roman" w:eastAsia="Calibri"/>
          <w:b/>
          <w:caps/>
          <w:szCs w:val="24"/>
          <w:highlight w:val="none"/>
        </w:rPr>
      </w:r>
      <w:r>
        <w:rPr>
          <w:rFonts w:ascii="Times New Roman" w:hAnsi="Times New Roman" w:eastAsia="Calibri"/>
          <w:b/>
          <w:bCs/>
          <w:caps/>
        </w:rPr>
      </w:r>
      <w:r>
        <w:rPr>
          <w:rFonts w:ascii="Times New Roman" w:hAnsi="Times New Roman" w:eastAsia="Calibri"/>
          <w:b/>
          <w:bCs/>
          <w:caps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40"/>
        <w:tblW w:w="96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685"/>
        <w:gridCol w:w="5278"/>
      </w:tblGrid>
      <w:tr>
        <w:tblPrEx/>
        <w:trPr>
          <w:trHeight w:val="459"/>
        </w:trPr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278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27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ОКПД2 71.20.12.000 Оказание услуг по продлению срока безопасной эксплуатации резервуаров хранения нефтепродуктов, для нужд СП, расположенных в Хабаровском крае, Приморском крае, Амурской области и Республике Саха (Якутия) и ЕАО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278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41005028-ЭКСП ПРОД-2026-ДГК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27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18 925 000,00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left="425" w:right="0" w:firstLine="0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2. Использованный метод</w:t>
      </w:r>
      <w:r>
        <w:rPr>
          <w:rFonts w:ascii="Times New Roman" w:hAnsi="Times New Roman" w:eastAsia="Calibri"/>
          <w:b/>
          <w:sz w:val="26"/>
          <w:szCs w:val="26"/>
        </w:rPr>
        <w:t xml:space="preserve">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contextualSpacing/>
        <w:ind w:left="360" w:firstLine="0"/>
        <w:jc w:val="both"/>
        <w:spacing w:after="12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Метод анализа технико-коммерческих предложений, с помощью мониторинга рынка на ЭТП, ло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RH</w:t>
      </w:r>
      <w:r>
        <w:rPr>
          <w:rFonts w:ascii="Times New Roman" w:hAnsi="Times New Roman" w:eastAsia="Times New Roman" w:cs="Times New Roman"/>
          <w:b w:val="0"/>
          <w:sz w:val="24"/>
          <w:szCs w:val="24"/>
        </w:rPr>
        <w:t xml:space="preserve">12022600047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left="360" w:firstLine="0"/>
        <w:jc w:val="both"/>
        <w:spacing w:after="120"/>
        <w:rPr>
          <w:rFonts w:eastAsia="Calibri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Обоснование расчета НМЦ:</w:t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tbl>
      <w:tblPr>
        <w:tblW w:w="1021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2267"/>
        <w:gridCol w:w="1843"/>
        <w:gridCol w:w="1559"/>
        <w:gridCol w:w="1984"/>
      </w:tblGrid>
      <w:tr>
        <w:tblPrEx/>
        <w:trPr>
          <w:trHeight w:val="70"/>
        </w:trPr>
        <w:tc>
          <w:tcPr>
            <w:shd w:val="clear" w:color="000000" w:fill="e7e6e6"/>
            <w:tcW w:w="255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22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  <w14:ligatures w14:val="none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1009"/>
        </w:trPr>
        <w:tc>
          <w:tcPr>
            <w:tcW w:w="255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ОКПД2 71.20.12.000 Оказание услуг по продлению срока безопасной эксплуатации резервуаров хранения нефтепродуктов, для нужд СП, расположенных в Хабаровском крае, Приморском крае, Амурской области и Республике Саха (Якутия) и ЕАО»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</w:r>
          </w:p>
        </w:tc>
        <w:tc>
          <w:tcPr>
            <w:shd w:val="clear" w:color="auto" w:fill="auto"/>
            <w:tcW w:w="2267" w:type="dxa"/>
            <w:textDirection w:val="lrTb"/>
            <w:noWrap w:val="false"/>
          </w:tcPr>
          <w:p>
            <w:pPr>
              <w:pStyle w:val="836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0"/>
              </w:rPr>
              <w:t xml:space="preserve">ОБЩЕСТВО С ОГРАНИЧЕННОЙ ОТВЕТСТВЕННОСТЬЮ "ТЕХСТАНДАРТ"</w:t>
            </w:r>
            <w:r>
              <w:rPr>
                <w:rFonts w:ascii="Times New Roman" w:hAnsi="Times New Roman" w:eastAsia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0"/>
              </w:rPr>
              <w:t xml:space="preserve">18 650 000,00</w:t>
            </w:r>
            <w:r>
              <w:rPr>
                <w:rFonts w:ascii="Times New Roman" w:hAnsi="Times New Roman" w:eastAsia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18 925 000,00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pStyle w:val="843"/>
              <w:rPr>
                <w:rFonts w:ascii="Times New Roman" w:hAnsi="Times New Roman" w:cs="Times New Roman"/>
                <w:sz w:val="22"/>
                <w:szCs w:val="22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shd w:val="clear" w:color="auto" w:fill="ffff99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shd w:val="clear" w:color="auto" w:fill="ffff99"/>
                <w:lang w:eastAsia="ru-RU"/>
              </w:rPr>
              <w:t xml:space="preserve">ринято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shd w:val="clear" w:color="auto" w:fill="ffff99"/>
                <w:lang w:eastAsia="ru-RU"/>
              </w:rPr>
              <w:t xml:space="preserve">среднеарифметическое значение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  <w:shd w:val="clear" w:color="auto" w:fill="ffff99"/>
              </w:rPr>
            </w:r>
          </w:p>
        </w:tc>
      </w:tr>
      <w:tr>
        <w:tblPrEx/>
        <w:trPr>
          <w:trHeight w:val="840"/>
        </w:trPr>
        <w:tc>
          <w:tcPr>
            <w:tcW w:w="255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267" w:type="dxa"/>
            <w:textDirection w:val="lrTb"/>
            <w:noWrap w:val="false"/>
          </w:tcPr>
          <w:p>
            <w:pPr>
              <w:pStyle w:val="836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0"/>
              </w:rPr>
              <w:t xml:space="preserve">ОБЩЕСТВО С ОГРАНИЧЕННОЙ ОТВЕТСТВЕННОСТЬЮ "КОНТРОЛЬПРО"</w:t>
            </w:r>
            <w:r>
              <w:rPr>
                <w:rFonts w:ascii="Times New Roman" w:hAnsi="Times New Roman" w:eastAsia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0"/>
              </w:rPr>
              <w:t xml:space="preserve">19 025 000,00</w:t>
            </w:r>
            <w:r>
              <w:rPr>
                <w:rFonts w:ascii="Times New Roman" w:hAnsi="Times New Roman" w:eastAsia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1"/>
        </w:trPr>
        <w:tc>
          <w:tcPr>
            <w:tcW w:w="255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267" w:type="dxa"/>
            <w:textDirection w:val="lrTb"/>
            <w:noWrap w:val="false"/>
          </w:tcPr>
          <w:p>
            <w:pPr>
              <w:pStyle w:val="836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0"/>
              </w:rPr>
              <w:t xml:space="preserve">ОБЩЕСТВО С ОГРАНИЧЕННОЙ ОТВЕТСТВЕННОСТЬЮ "Единый Информационно-технический Центр"</w:t>
            </w:r>
            <w:r>
              <w:rPr>
                <w:rFonts w:ascii="Times New Roman" w:hAnsi="Times New Roman" w:eastAsia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0"/>
              </w:rPr>
              <w:t xml:space="preserve">19 100 000,00</w:t>
            </w:r>
            <w:r>
              <w:rPr>
                <w:rFonts w:ascii="Times New Roman" w:hAnsi="Times New Roman" w:eastAsia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footnotePr/>
      <w:endnotePr/>
      <w:type w:val="nextPage"/>
      <w:pgSz w:w="11906" w:h="16838" w:orient="portrait"/>
      <w:pgMar w:top="709" w:right="849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6"/>
    <w:next w:val="836"/>
    <w:link w:val="6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2">
    <w:name w:val="Heading 1 Char"/>
    <w:basedOn w:val="837"/>
    <w:link w:val="661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6"/>
    <w:next w:val="836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37"/>
    <w:link w:val="663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6"/>
    <w:next w:val="836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basedOn w:val="837"/>
    <w:link w:val="665"/>
    <w:uiPriority w:val="9"/>
    <w:rPr>
      <w:rFonts w:ascii="Arial" w:hAnsi="Arial" w:eastAsia="Arial" w:cs="Arial"/>
      <w:sz w:val="30"/>
      <w:szCs w:val="30"/>
    </w:rPr>
  </w:style>
  <w:style w:type="paragraph" w:styleId="667">
    <w:name w:val="Heading 4"/>
    <w:basedOn w:val="836"/>
    <w:next w:val="836"/>
    <w:link w:val="66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>
    <w:name w:val="Heading 4 Char"/>
    <w:basedOn w:val="837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>
    <w:name w:val="Heading 5"/>
    <w:basedOn w:val="836"/>
    <w:next w:val="836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>
    <w:name w:val="Heading 5 Char"/>
    <w:basedOn w:val="837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>
    <w:name w:val="Heading 6"/>
    <w:basedOn w:val="836"/>
    <w:next w:val="836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2">
    <w:name w:val="Heading 6 Char"/>
    <w:basedOn w:val="837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836"/>
    <w:next w:val="836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4">
    <w:name w:val="Heading 7 Char"/>
    <w:basedOn w:val="837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836"/>
    <w:next w:val="836"/>
    <w:link w:val="6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6">
    <w:name w:val="Heading 8 Char"/>
    <w:basedOn w:val="83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836"/>
    <w:next w:val="836"/>
    <w:link w:val="6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>
    <w:name w:val="Heading 9 Char"/>
    <w:basedOn w:val="837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2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3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4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5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6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7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9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0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1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2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3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4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6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7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8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9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0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1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table" w:styleId="840" w:customStyle="1">
    <w:name w:val="Сетка таблицы1"/>
    <w:basedOn w:val="838"/>
    <w:next w:val="841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1">
    <w:name w:val="Table Grid"/>
    <w:basedOn w:val="838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2">
    <w:name w:val="List Paragraph"/>
    <w:basedOn w:val="836"/>
    <w:uiPriority w:val="34"/>
    <w:qFormat/>
    <w:pPr>
      <w:ind w:left="720"/>
    </w:pPr>
    <w:rPr>
      <w:rFonts w:ascii="Times New Roman" w:hAnsi="Times New Roman" w:eastAsia="Times New Roman"/>
      <w:sz w:val="20"/>
      <w:lang w:eastAsia="ru-RU"/>
    </w:rPr>
  </w:style>
  <w:style w:type="paragraph" w:styleId="843">
    <w:name w:val="No Spacing"/>
    <w:uiPriority w:val="1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paragraph" w:styleId="844">
    <w:name w:val="Balloon Text"/>
    <w:basedOn w:val="836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7"/>
    <w:link w:val="844"/>
    <w:uiPriority w:val="99"/>
    <w:semiHidden/>
    <w:rPr>
      <w:rFonts w:ascii="Segoe UI" w:hAnsi="Segoe UI" w:eastAsia="Geneva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Анохина Александра Владимировна</dc:creator>
  <cp:keywords/>
  <dc:description/>
  <cp:lastModifiedBy>korneva_oa</cp:lastModifiedBy>
  <cp:revision>42</cp:revision>
  <dcterms:created xsi:type="dcterms:W3CDTF">2021-12-23T05:59:00Z</dcterms:created>
  <dcterms:modified xsi:type="dcterms:W3CDTF">2026-04-23T23:37:20Z</dcterms:modified>
</cp:coreProperties>
</file>